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CellSpacing w:w="0" w:type="dxa"/>
        <w:tblCellMar>
          <w:left w:w="0" w:type="dxa"/>
          <w:right w:w="0" w:type="dxa"/>
        </w:tblCellMar>
        <w:tblLook w:val="04A0" w:firstRow="1" w:lastRow="0" w:firstColumn="1" w:lastColumn="0" w:noHBand="0" w:noVBand="1"/>
      </w:tblPr>
      <w:tblGrid>
        <w:gridCol w:w="8504"/>
      </w:tblGrid>
      <w:tr w:rsidR="00F1316E" w:rsidRPr="00F1316E" w:rsidTr="00F1316E">
        <w:trPr>
          <w:tblCellSpacing w:w="0" w:type="dxa"/>
          <w:jc w:val="center"/>
        </w:trPr>
        <w:tc>
          <w:tcPr>
            <w:tcW w:w="0" w:type="auto"/>
            <w:vAlign w:val="center"/>
            <w:hideMark/>
          </w:tcPr>
          <w:p w:rsidR="00F1316E" w:rsidRPr="00F1316E" w:rsidRDefault="00F1316E" w:rsidP="00F1316E">
            <w:pPr>
              <w:spacing w:after="0" w:line="240" w:lineRule="auto"/>
              <w:jc w:val="center"/>
              <w:rPr>
                <w:rFonts w:ascii="Arial" w:eastAsia="Times New Roman" w:hAnsi="Arial" w:cs="Arial"/>
                <w:color w:val="333333"/>
                <w:sz w:val="31"/>
                <w:szCs w:val="31"/>
                <w:lang w:eastAsia="pt-BR"/>
              </w:rPr>
            </w:pPr>
            <w:r w:rsidRPr="00F1316E">
              <w:rPr>
                <w:rFonts w:ascii="Arial" w:eastAsia="Times New Roman" w:hAnsi="Arial" w:cs="Arial"/>
                <w:color w:val="333333"/>
                <w:sz w:val="31"/>
                <w:szCs w:val="31"/>
                <w:lang w:eastAsia="pt-BR"/>
              </w:rPr>
              <w:t>CIRCULAR ANFAC Nº 027 de 10/04/2018</w:t>
            </w:r>
          </w:p>
        </w:tc>
      </w:tr>
      <w:tr w:rsidR="00F1316E" w:rsidRPr="00F1316E" w:rsidTr="00F1316E">
        <w:trPr>
          <w:tblCellSpacing w:w="0" w:type="dxa"/>
          <w:jc w:val="center"/>
        </w:trPr>
        <w:tc>
          <w:tcPr>
            <w:tcW w:w="0" w:type="auto"/>
            <w:tcMar>
              <w:top w:w="150" w:type="dxa"/>
              <w:left w:w="0" w:type="dxa"/>
              <w:bottom w:w="0" w:type="dxa"/>
              <w:right w:w="0" w:type="dxa"/>
            </w:tcMar>
            <w:vAlign w:val="center"/>
            <w:hideMark/>
          </w:tcPr>
          <w:p w:rsidR="00F1316E" w:rsidRPr="00F1316E" w:rsidRDefault="00F1316E" w:rsidP="00F1316E">
            <w:pPr>
              <w:spacing w:after="0" w:line="240" w:lineRule="auto"/>
              <w:jc w:val="center"/>
              <w:rPr>
                <w:rFonts w:ascii="Arial" w:eastAsia="Times New Roman" w:hAnsi="Arial" w:cs="Arial"/>
                <w:color w:val="333333"/>
                <w:sz w:val="31"/>
                <w:szCs w:val="31"/>
                <w:lang w:eastAsia="pt-BR"/>
              </w:rPr>
            </w:pPr>
            <w:r w:rsidRPr="00F1316E">
              <w:rPr>
                <w:rFonts w:ascii="Arial" w:eastAsia="Times New Roman" w:hAnsi="Arial" w:cs="Arial"/>
                <w:b/>
                <w:bCs/>
                <w:color w:val="333333"/>
                <w:sz w:val="31"/>
                <w:szCs w:val="31"/>
                <w:lang w:eastAsia="pt-BR"/>
              </w:rPr>
              <w:t>APLICAÇÃO DO CÓDIGO DE DEFESA DO CONSUMIDOR - INFORMATIVO SEMANAL - ANFAC JURIS de 03.04.2018</w:t>
            </w:r>
          </w:p>
        </w:tc>
      </w:tr>
      <w:tr w:rsidR="00F1316E" w:rsidRPr="00F1316E" w:rsidTr="00F1316E">
        <w:trPr>
          <w:tblCellSpacing w:w="0" w:type="dxa"/>
          <w:jc w:val="center"/>
        </w:trPr>
        <w:tc>
          <w:tcPr>
            <w:tcW w:w="0" w:type="auto"/>
            <w:tcMar>
              <w:top w:w="72" w:type="dxa"/>
              <w:left w:w="0" w:type="dxa"/>
              <w:bottom w:w="72" w:type="dxa"/>
              <w:right w:w="0" w:type="dxa"/>
            </w:tcMar>
            <w:vAlign w:val="center"/>
            <w:hideMark/>
          </w:tcPr>
          <w:p w:rsidR="00F1316E" w:rsidRPr="00F1316E" w:rsidRDefault="00F1316E" w:rsidP="00F1316E">
            <w:pPr>
              <w:spacing w:after="0" w:line="240" w:lineRule="auto"/>
              <w:jc w:val="center"/>
              <w:rPr>
                <w:rFonts w:ascii="Arial" w:eastAsia="Times New Roman" w:hAnsi="Arial" w:cs="Arial"/>
                <w:color w:val="333333"/>
                <w:sz w:val="24"/>
                <w:szCs w:val="24"/>
                <w:lang w:eastAsia="pt-BR"/>
              </w:rPr>
            </w:pPr>
            <w:r w:rsidRPr="00F1316E">
              <w:rPr>
                <w:rFonts w:ascii="Arial" w:eastAsia="Times New Roman" w:hAnsi="Arial" w:cs="Arial"/>
                <w:color w:val="333333"/>
                <w:sz w:val="24"/>
                <w:szCs w:val="24"/>
                <w:lang w:eastAsia="pt-BR"/>
              </w:rPr>
              <w:pict>
                <v:rect id="_x0000_i1025" style="width:0;height:1.5pt" o:hralign="center" o:hrstd="t" o:hr="t" fillcolor="#a0a0a0" stroked="f"/>
              </w:pict>
            </w:r>
          </w:p>
        </w:tc>
      </w:tr>
      <w:tr w:rsidR="00F1316E" w:rsidRPr="00F1316E" w:rsidTr="00F1316E">
        <w:trPr>
          <w:tblCellSpacing w:w="0" w:type="dxa"/>
          <w:jc w:val="center"/>
        </w:trPr>
        <w:tc>
          <w:tcPr>
            <w:tcW w:w="0" w:type="auto"/>
            <w:vAlign w:val="center"/>
            <w:hideMark/>
          </w:tcPr>
          <w:p w:rsidR="00F1316E" w:rsidRPr="00F1316E" w:rsidRDefault="00F1316E" w:rsidP="00F1316E">
            <w:pPr>
              <w:spacing w:before="100" w:beforeAutospacing="1" w:after="100" w:afterAutospacing="1" w:line="240" w:lineRule="auto"/>
              <w:jc w:val="both"/>
              <w:rPr>
                <w:rFonts w:ascii="Arial" w:eastAsia="Times New Roman" w:hAnsi="Arial" w:cs="Arial"/>
                <w:color w:val="333333"/>
                <w:sz w:val="24"/>
                <w:szCs w:val="24"/>
                <w:lang w:eastAsia="pt-BR"/>
              </w:rPr>
            </w:pPr>
            <w:r w:rsidRPr="00F1316E">
              <w:rPr>
                <w:rFonts w:ascii="Arial" w:eastAsia="Times New Roman" w:hAnsi="Arial" w:cs="Arial"/>
                <w:color w:val="333333"/>
                <w:sz w:val="24"/>
                <w:szCs w:val="24"/>
                <w:lang w:eastAsia="pt-BR"/>
              </w:rPr>
              <w:t>Reportamo-nos ao informativo semanal "</w:t>
            </w:r>
            <w:r w:rsidRPr="00F1316E">
              <w:rPr>
                <w:rFonts w:ascii="Arial" w:eastAsia="Times New Roman" w:hAnsi="Arial" w:cs="Arial"/>
                <w:i/>
                <w:iCs/>
                <w:color w:val="333333"/>
                <w:sz w:val="24"/>
                <w:szCs w:val="24"/>
                <w:lang w:eastAsia="pt-BR"/>
              </w:rPr>
              <w:t>ANFAC Juris</w:t>
            </w:r>
            <w:r w:rsidRPr="00F1316E">
              <w:rPr>
                <w:rFonts w:ascii="Arial" w:eastAsia="Times New Roman" w:hAnsi="Arial" w:cs="Arial"/>
                <w:color w:val="333333"/>
                <w:sz w:val="24"/>
                <w:szCs w:val="24"/>
                <w:lang w:eastAsia="pt-BR"/>
              </w:rPr>
              <w:t>", disponibilizado, no último dia 03 de abril de 2018. (</w:t>
            </w:r>
            <w:hyperlink r:id="rId4" w:history="1">
              <w:r w:rsidRPr="00F1316E">
                <w:rPr>
                  <w:rFonts w:ascii="Arial" w:eastAsia="Times New Roman" w:hAnsi="Arial" w:cs="Arial"/>
                  <w:color w:val="0000FF"/>
                  <w:sz w:val="24"/>
                  <w:szCs w:val="24"/>
                  <w:u w:val="single"/>
                  <w:lang w:eastAsia="pt-BR"/>
                </w:rPr>
                <w:t>Clique aqui</w:t>
              </w:r>
            </w:hyperlink>
            <w:r w:rsidRPr="00F1316E">
              <w:rPr>
                <w:rFonts w:ascii="Arial" w:eastAsia="Times New Roman" w:hAnsi="Arial" w:cs="Arial"/>
                <w:color w:val="333333"/>
                <w:sz w:val="24"/>
                <w:szCs w:val="24"/>
                <w:lang w:eastAsia="pt-BR"/>
              </w:rPr>
              <w:t>)</w:t>
            </w:r>
          </w:p>
          <w:p w:rsidR="00F1316E" w:rsidRPr="00F1316E" w:rsidRDefault="00F1316E" w:rsidP="00F1316E">
            <w:pPr>
              <w:spacing w:before="100" w:beforeAutospacing="1" w:after="100" w:afterAutospacing="1" w:line="240" w:lineRule="auto"/>
              <w:jc w:val="both"/>
              <w:rPr>
                <w:rFonts w:ascii="Arial" w:eastAsia="Times New Roman" w:hAnsi="Arial" w:cs="Arial"/>
                <w:color w:val="333333"/>
                <w:sz w:val="24"/>
                <w:szCs w:val="24"/>
                <w:lang w:eastAsia="pt-BR"/>
              </w:rPr>
            </w:pPr>
            <w:r w:rsidRPr="00F1316E">
              <w:rPr>
                <w:rFonts w:ascii="Arial" w:eastAsia="Times New Roman" w:hAnsi="Arial" w:cs="Arial"/>
                <w:color w:val="333333"/>
                <w:sz w:val="24"/>
                <w:szCs w:val="24"/>
                <w:lang w:eastAsia="pt-BR"/>
              </w:rPr>
              <w:t>Dos temas ali divulgados, selecionamos, para comentário, decisão do Tribunal de Justiça do Estado de São Paulo que reconheceu, não ser a relação derivada do Contrato de Fomento Comercial uma relação de consumo.</w:t>
            </w:r>
          </w:p>
          <w:p w:rsidR="00F1316E" w:rsidRPr="00F1316E" w:rsidRDefault="00F1316E" w:rsidP="00F1316E">
            <w:pPr>
              <w:spacing w:before="100" w:beforeAutospacing="1" w:after="100" w:afterAutospacing="1" w:line="240" w:lineRule="auto"/>
              <w:jc w:val="both"/>
              <w:rPr>
                <w:rFonts w:ascii="Arial" w:eastAsia="Times New Roman" w:hAnsi="Arial" w:cs="Arial"/>
                <w:color w:val="333333"/>
                <w:sz w:val="24"/>
                <w:szCs w:val="24"/>
                <w:lang w:eastAsia="pt-BR"/>
              </w:rPr>
            </w:pPr>
            <w:r w:rsidRPr="00F1316E">
              <w:rPr>
                <w:rFonts w:ascii="Arial" w:eastAsia="Times New Roman" w:hAnsi="Arial" w:cs="Arial"/>
                <w:color w:val="333333"/>
                <w:sz w:val="24"/>
                <w:szCs w:val="24"/>
                <w:lang w:eastAsia="pt-BR"/>
              </w:rPr>
              <w:t>É oportuno destacar que, nas lides judiciais, comumente o fomentado-alienante, busca apoiar suas alegações nas regras protetivas do Código de Defesa do Consumidor, sendo de extrema relevância que o Poder Judiciário ratifique entendimento já consolidado de que o fomento comercial não é uma relação consumerista.</w:t>
            </w:r>
          </w:p>
          <w:p w:rsidR="00F1316E" w:rsidRPr="00F1316E" w:rsidRDefault="00F1316E" w:rsidP="00F1316E">
            <w:pPr>
              <w:spacing w:before="100" w:beforeAutospacing="1" w:after="100" w:afterAutospacing="1" w:line="240" w:lineRule="auto"/>
              <w:jc w:val="both"/>
              <w:rPr>
                <w:rFonts w:ascii="Arial" w:eastAsia="Times New Roman" w:hAnsi="Arial" w:cs="Arial"/>
                <w:color w:val="333333"/>
                <w:sz w:val="24"/>
                <w:szCs w:val="24"/>
                <w:lang w:eastAsia="pt-BR"/>
              </w:rPr>
            </w:pPr>
            <w:r w:rsidRPr="00F1316E">
              <w:rPr>
                <w:rFonts w:ascii="Arial" w:eastAsia="Times New Roman" w:hAnsi="Arial" w:cs="Arial"/>
                <w:color w:val="333333"/>
                <w:sz w:val="24"/>
                <w:szCs w:val="24"/>
                <w:lang w:eastAsia="pt-BR"/>
              </w:rPr>
              <w:t>No caso em tela, o Acórdão, com propriedade assentou:</w:t>
            </w:r>
          </w:p>
          <w:p w:rsidR="00F1316E" w:rsidRPr="00F1316E" w:rsidRDefault="00F1316E" w:rsidP="00F1316E">
            <w:pPr>
              <w:spacing w:before="100" w:beforeAutospacing="1" w:after="100" w:afterAutospacing="1" w:line="240" w:lineRule="auto"/>
              <w:ind w:left="2400"/>
              <w:jc w:val="both"/>
              <w:rPr>
                <w:rFonts w:ascii="Arial" w:eastAsia="Times New Roman" w:hAnsi="Arial" w:cs="Arial"/>
                <w:color w:val="333333"/>
                <w:sz w:val="24"/>
                <w:szCs w:val="24"/>
                <w:lang w:eastAsia="pt-BR"/>
              </w:rPr>
            </w:pPr>
            <w:r w:rsidRPr="00F1316E">
              <w:rPr>
                <w:rFonts w:ascii="Arial" w:eastAsia="Times New Roman" w:hAnsi="Arial" w:cs="Arial"/>
                <w:color w:val="333333"/>
                <w:sz w:val="24"/>
                <w:szCs w:val="24"/>
                <w:lang w:eastAsia="pt-BR"/>
              </w:rPr>
              <w:t>"No que se refere ao Código de Defesa do Consumidor, em conformidade com entendimento firmado pelo E. STJ, a utilização do serviço de fomento mercantil como incremento da atividade produtiva não constitui relação de consumo (</w:t>
            </w:r>
            <w:proofErr w:type="spellStart"/>
            <w:r w:rsidRPr="00F1316E">
              <w:rPr>
                <w:rFonts w:ascii="Arial" w:eastAsia="Times New Roman" w:hAnsi="Arial" w:cs="Arial"/>
                <w:color w:val="333333"/>
                <w:sz w:val="24"/>
                <w:szCs w:val="24"/>
                <w:lang w:eastAsia="pt-BR"/>
              </w:rPr>
              <w:t>AgInt</w:t>
            </w:r>
            <w:proofErr w:type="spellEnd"/>
            <w:r w:rsidRPr="00F1316E">
              <w:rPr>
                <w:rFonts w:ascii="Arial" w:eastAsia="Times New Roman" w:hAnsi="Arial" w:cs="Arial"/>
                <w:color w:val="333333"/>
                <w:sz w:val="24"/>
                <w:szCs w:val="24"/>
                <w:lang w:eastAsia="pt-BR"/>
              </w:rPr>
              <w:t xml:space="preserve"> no </w:t>
            </w:r>
            <w:proofErr w:type="spellStart"/>
            <w:r w:rsidRPr="00F1316E">
              <w:rPr>
                <w:rFonts w:ascii="Arial" w:eastAsia="Times New Roman" w:hAnsi="Arial" w:cs="Arial"/>
                <w:color w:val="333333"/>
                <w:sz w:val="24"/>
                <w:szCs w:val="24"/>
                <w:lang w:eastAsia="pt-BR"/>
              </w:rPr>
              <w:t>AREsp</w:t>
            </w:r>
            <w:proofErr w:type="spellEnd"/>
            <w:r w:rsidRPr="00F1316E">
              <w:rPr>
                <w:rFonts w:ascii="Arial" w:eastAsia="Times New Roman" w:hAnsi="Arial" w:cs="Arial"/>
                <w:color w:val="333333"/>
                <w:sz w:val="24"/>
                <w:szCs w:val="24"/>
                <w:lang w:eastAsia="pt-BR"/>
              </w:rPr>
              <w:t xml:space="preserve"> 898557/MG e </w:t>
            </w:r>
            <w:proofErr w:type="spellStart"/>
            <w:r w:rsidRPr="00F1316E">
              <w:rPr>
                <w:rFonts w:ascii="Arial" w:eastAsia="Times New Roman" w:hAnsi="Arial" w:cs="Arial"/>
                <w:color w:val="333333"/>
                <w:sz w:val="24"/>
                <w:szCs w:val="24"/>
                <w:lang w:eastAsia="pt-BR"/>
              </w:rPr>
              <w:t>AgRg</w:t>
            </w:r>
            <w:proofErr w:type="spellEnd"/>
            <w:r w:rsidRPr="00F1316E">
              <w:rPr>
                <w:rFonts w:ascii="Arial" w:eastAsia="Times New Roman" w:hAnsi="Arial" w:cs="Arial"/>
                <w:color w:val="333333"/>
                <w:sz w:val="24"/>
                <w:szCs w:val="24"/>
                <w:lang w:eastAsia="pt-BR"/>
              </w:rPr>
              <w:t xml:space="preserve"> no </w:t>
            </w:r>
            <w:proofErr w:type="spellStart"/>
            <w:r w:rsidRPr="00F1316E">
              <w:rPr>
                <w:rFonts w:ascii="Arial" w:eastAsia="Times New Roman" w:hAnsi="Arial" w:cs="Arial"/>
                <w:color w:val="333333"/>
                <w:sz w:val="24"/>
                <w:szCs w:val="24"/>
                <w:lang w:eastAsia="pt-BR"/>
              </w:rPr>
              <w:t>REsp</w:t>
            </w:r>
            <w:proofErr w:type="spellEnd"/>
            <w:r w:rsidRPr="00F1316E">
              <w:rPr>
                <w:rFonts w:ascii="Arial" w:eastAsia="Times New Roman" w:hAnsi="Arial" w:cs="Arial"/>
                <w:color w:val="333333"/>
                <w:sz w:val="24"/>
                <w:szCs w:val="24"/>
                <w:lang w:eastAsia="pt-BR"/>
              </w:rPr>
              <w:t xml:space="preserve"> 1564872/SP).</w:t>
            </w:r>
            <w:r w:rsidRPr="00F1316E">
              <w:rPr>
                <w:rFonts w:ascii="Arial" w:eastAsia="Times New Roman" w:hAnsi="Arial" w:cs="Arial"/>
                <w:color w:val="333333"/>
                <w:sz w:val="24"/>
                <w:szCs w:val="24"/>
                <w:lang w:eastAsia="pt-BR"/>
              </w:rPr>
              <w:br/>
            </w:r>
            <w:r w:rsidRPr="00F1316E">
              <w:rPr>
                <w:rFonts w:ascii="Arial" w:eastAsia="Times New Roman" w:hAnsi="Arial" w:cs="Arial"/>
                <w:color w:val="333333"/>
                <w:sz w:val="24"/>
                <w:szCs w:val="24"/>
                <w:lang w:eastAsia="pt-BR"/>
              </w:rPr>
              <w:br/>
              <w:t>Portanto, não se aplica mesmo ao caso o CDC, eis que inexistente a relação de consumo entre as partes."</w:t>
            </w:r>
          </w:p>
          <w:p w:rsidR="00F1316E" w:rsidRPr="00F1316E" w:rsidRDefault="00F1316E" w:rsidP="00F1316E">
            <w:pPr>
              <w:spacing w:before="100" w:beforeAutospacing="1" w:after="100" w:afterAutospacing="1" w:line="240" w:lineRule="auto"/>
              <w:jc w:val="both"/>
              <w:rPr>
                <w:rFonts w:ascii="Arial" w:eastAsia="Times New Roman" w:hAnsi="Arial" w:cs="Arial"/>
                <w:color w:val="333333"/>
                <w:sz w:val="24"/>
                <w:szCs w:val="24"/>
                <w:lang w:eastAsia="pt-BR"/>
              </w:rPr>
            </w:pPr>
            <w:r w:rsidRPr="00F1316E">
              <w:rPr>
                <w:rFonts w:ascii="Arial" w:eastAsia="Times New Roman" w:hAnsi="Arial" w:cs="Arial"/>
                <w:color w:val="333333"/>
                <w:sz w:val="24"/>
                <w:szCs w:val="24"/>
                <w:lang w:eastAsia="pt-BR"/>
              </w:rPr>
              <w:t>Como observado no trecho destacado acima, o Superior Tribunal de Justiça, desde 2012, consolidou o entendimento, quanto a não aplicação das regras consumeristas ao Contrato de Fomento Comercial e o fez em brilhante decisão da lavra do Ministro Luis Felipe Salomão com o seguinte fundamento:</w:t>
            </w:r>
          </w:p>
          <w:p w:rsidR="00F1316E" w:rsidRPr="00F1316E" w:rsidRDefault="00F1316E" w:rsidP="00F1316E">
            <w:pPr>
              <w:spacing w:before="100" w:beforeAutospacing="1" w:after="100" w:afterAutospacing="1" w:line="240" w:lineRule="auto"/>
              <w:ind w:left="2400"/>
              <w:jc w:val="both"/>
              <w:rPr>
                <w:rFonts w:ascii="Arial" w:eastAsia="Times New Roman" w:hAnsi="Arial" w:cs="Arial"/>
                <w:color w:val="333333"/>
                <w:sz w:val="24"/>
                <w:szCs w:val="24"/>
                <w:lang w:eastAsia="pt-BR"/>
              </w:rPr>
            </w:pPr>
            <w:r w:rsidRPr="00F1316E">
              <w:rPr>
                <w:rFonts w:ascii="Arial" w:eastAsia="Times New Roman" w:hAnsi="Arial" w:cs="Arial"/>
                <w:i/>
                <w:iCs/>
                <w:color w:val="333333"/>
                <w:sz w:val="24"/>
                <w:szCs w:val="24"/>
                <w:lang w:eastAsia="pt-BR"/>
              </w:rPr>
              <w:t>"CONTRATO DE FACTORING. RECURSO ESPECIAL. CARACTERIZAÇÃO DO ESCRITÓRIO DE FACTORING COMO INSTITUIÇÃO FINANCEIRA. DESCABIMENTO. APLICAÇÃO DE DISPOSITIVOS DO CÓDIGO DE DEFESA DO CONSUMIDOR À AVENÇA MERCANTIL, AO FUNDAMENTO DE SE TRATAR DE RELAÇÃO DE CONSUMO. INVIABILIDADE.</w:t>
            </w:r>
          </w:p>
          <w:p w:rsidR="00F1316E" w:rsidRPr="00F1316E" w:rsidRDefault="00F1316E" w:rsidP="00F1316E">
            <w:pPr>
              <w:spacing w:before="100" w:beforeAutospacing="1" w:after="100" w:afterAutospacing="1" w:line="240" w:lineRule="auto"/>
              <w:ind w:left="2400"/>
              <w:jc w:val="both"/>
              <w:rPr>
                <w:rFonts w:ascii="Arial" w:eastAsia="Times New Roman" w:hAnsi="Arial" w:cs="Arial"/>
                <w:color w:val="333333"/>
                <w:sz w:val="24"/>
                <w:szCs w:val="24"/>
                <w:lang w:eastAsia="pt-BR"/>
              </w:rPr>
            </w:pPr>
            <w:r w:rsidRPr="00F1316E">
              <w:rPr>
                <w:rFonts w:ascii="Arial" w:eastAsia="Times New Roman" w:hAnsi="Arial" w:cs="Arial"/>
                <w:i/>
                <w:iCs/>
                <w:color w:val="333333"/>
                <w:sz w:val="24"/>
                <w:szCs w:val="24"/>
                <w:lang w:eastAsia="pt-BR"/>
              </w:rPr>
              <w:t>1. As empresas de factoring não são instituições financeiras, visto que suas atividades regulares de fomento mercantil não se amoldam ao conceito legal, tampouco efetuam operação de mútuo ou captação de recursos de terceiros. Precedentes.</w:t>
            </w:r>
            <w:r w:rsidRPr="00F1316E">
              <w:rPr>
                <w:rFonts w:ascii="Arial" w:eastAsia="Times New Roman" w:hAnsi="Arial" w:cs="Arial"/>
                <w:i/>
                <w:iCs/>
                <w:color w:val="333333"/>
                <w:sz w:val="24"/>
                <w:szCs w:val="24"/>
                <w:lang w:eastAsia="pt-BR"/>
              </w:rPr>
              <w:br/>
              <w:t> </w:t>
            </w:r>
            <w:r w:rsidRPr="00F1316E">
              <w:rPr>
                <w:rFonts w:ascii="Arial" w:eastAsia="Times New Roman" w:hAnsi="Arial" w:cs="Arial"/>
                <w:i/>
                <w:iCs/>
                <w:color w:val="333333"/>
                <w:sz w:val="24"/>
                <w:szCs w:val="24"/>
                <w:lang w:eastAsia="pt-BR"/>
              </w:rPr>
              <w:br/>
            </w:r>
            <w:r w:rsidRPr="00F1316E">
              <w:rPr>
                <w:rFonts w:ascii="Arial" w:eastAsia="Times New Roman" w:hAnsi="Arial" w:cs="Arial"/>
                <w:i/>
                <w:iCs/>
                <w:color w:val="333333"/>
                <w:sz w:val="24"/>
                <w:szCs w:val="24"/>
                <w:lang w:eastAsia="pt-BR"/>
              </w:rPr>
              <w:lastRenderedPageBreak/>
              <w:t>2. A relação de consumo existe apenas no caso em que uma das partes pode ser considerada destinatária final do produto ou serviço. Na hipótese em que produto ou serviço são utilizados na cadeia produtiva, e não há considerável desproporção entre o porte econômico das partes contratantes, o adquirente não pode ser considerado consumidor e não se aplica o CDC, devendo eventuais conflitos serem resolvidos com outras regras do Direito das Obrigações". (</w:t>
            </w:r>
            <w:proofErr w:type="spellStart"/>
            <w:r w:rsidRPr="00F1316E">
              <w:rPr>
                <w:rFonts w:ascii="Arial" w:eastAsia="Times New Roman" w:hAnsi="Arial" w:cs="Arial"/>
                <w:i/>
                <w:iCs/>
                <w:color w:val="333333"/>
                <w:sz w:val="24"/>
                <w:szCs w:val="24"/>
                <w:lang w:eastAsia="pt-BR"/>
              </w:rPr>
              <w:t>REsp</w:t>
            </w:r>
            <w:proofErr w:type="spellEnd"/>
            <w:r w:rsidRPr="00F1316E">
              <w:rPr>
                <w:rFonts w:ascii="Arial" w:eastAsia="Times New Roman" w:hAnsi="Arial" w:cs="Arial"/>
                <w:i/>
                <w:iCs/>
                <w:color w:val="333333"/>
                <w:sz w:val="24"/>
                <w:szCs w:val="24"/>
                <w:lang w:eastAsia="pt-BR"/>
              </w:rPr>
              <w:t xml:space="preserve"> 836.823/PR, Rel. Min. SIDNEI BENETI, Terceira Turma, DJ de 23.8.2010).</w:t>
            </w:r>
          </w:p>
          <w:p w:rsidR="00F1316E" w:rsidRPr="00F1316E" w:rsidRDefault="00F1316E" w:rsidP="00F1316E">
            <w:pPr>
              <w:spacing w:before="100" w:beforeAutospacing="1" w:after="100" w:afterAutospacing="1" w:line="240" w:lineRule="auto"/>
              <w:ind w:left="2400"/>
              <w:jc w:val="both"/>
              <w:rPr>
                <w:rFonts w:ascii="Arial" w:eastAsia="Times New Roman" w:hAnsi="Arial" w:cs="Arial"/>
                <w:color w:val="333333"/>
                <w:sz w:val="24"/>
                <w:szCs w:val="24"/>
                <w:lang w:eastAsia="pt-BR"/>
              </w:rPr>
            </w:pPr>
            <w:r w:rsidRPr="00F1316E">
              <w:rPr>
                <w:rFonts w:ascii="Arial" w:eastAsia="Times New Roman" w:hAnsi="Arial" w:cs="Arial"/>
                <w:i/>
                <w:iCs/>
                <w:color w:val="333333"/>
                <w:sz w:val="24"/>
                <w:szCs w:val="24"/>
                <w:lang w:eastAsia="pt-BR"/>
              </w:rPr>
              <w:t>3. Com efeito, no caso em julgamento, verifica-se que a ora recorrida não é destinatária final, tampouco se insere em situação de vulnerabilidade, porquanto não se apresenta como sujeito mais fraco, com necessidade de proteção estatal, mas como sociedade empresária que, por meio da pactuação livremente firmada com a recorrida, obtém capital de giro para operação de sua atividade empresarial, não havendo, no caso, relação de consumo.</w:t>
            </w:r>
          </w:p>
          <w:p w:rsidR="00F1316E" w:rsidRPr="00F1316E" w:rsidRDefault="00F1316E" w:rsidP="00F1316E">
            <w:pPr>
              <w:spacing w:before="100" w:beforeAutospacing="1" w:after="100" w:afterAutospacing="1" w:line="240" w:lineRule="auto"/>
              <w:ind w:left="2400"/>
              <w:jc w:val="both"/>
              <w:rPr>
                <w:rFonts w:ascii="Arial" w:eastAsia="Times New Roman" w:hAnsi="Arial" w:cs="Arial"/>
                <w:color w:val="333333"/>
                <w:sz w:val="24"/>
                <w:szCs w:val="24"/>
                <w:lang w:eastAsia="pt-BR"/>
              </w:rPr>
            </w:pPr>
            <w:r w:rsidRPr="00F1316E">
              <w:rPr>
                <w:rFonts w:ascii="Arial" w:eastAsia="Times New Roman" w:hAnsi="Arial" w:cs="Arial"/>
                <w:i/>
                <w:iCs/>
                <w:color w:val="333333"/>
                <w:sz w:val="24"/>
                <w:szCs w:val="24"/>
                <w:lang w:eastAsia="pt-BR"/>
              </w:rPr>
              <w:t>4. Recurso especial não provido."</w:t>
            </w:r>
          </w:p>
          <w:p w:rsidR="00F1316E" w:rsidRPr="00F1316E" w:rsidRDefault="00F1316E" w:rsidP="00F1316E">
            <w:pPr>
              <w:spacing w:before="100" w:beforeAutospacing="1" w:after="100" w:afterAutospacing="1" w:line="240" w:lineRule="auto"/>
              <w:ind w:left="2400"/>
              <w:jc w:val="both"/>
              <w:rPr>
                <w:rFonts w:ascii="Arial" w:eastAsia="Times New Roman" w:hAnsi="Arial" w:cs="Arial"/>
                <w:color w:val="333333"/>
                <w:sz w:val="24"/>
                <w:szCs w:val="24"/>
                <w:lang w:eastAsia="pt-BR"/>
              </w:rPr>
            </w:pPr>
            <w:r w:rsidRPr="00F1316E">
              <w:rPr>
                <w:rFonts w:ascii="Arial" w:eastAsia="Times New Roman" w:hAnsi="Arial" w:cs="Arial"/>
                <w:i/>
                <w:iCs/>
                <w:color w:val="333333"/>
                <w:sz w:val="24"/>
                <w:szCs w:val="24"/>
                <w:lang w:eastAsia="pt-BR"/>
              </w:rPr>
              <w:t>(RESP 938.979/DF, Rel. Min. Luis Felipe Salomão, j. 19.06.12).</w:t>
            </w:r>
          </w:p>
          <w:p w:rsidR="00F1316E" w:rsidRPr="00F1316E" w:rsidRDefault="00F1316E" w:rsidP="00F1316E">
            <w:pPr>
              <w:spacing w:before="100" w:beforeAutospacing="1" w:after="100" w:afterAutospacing="1" w:line="240" w:lineRule="auto"/>
              <w:jc w:val="both"/>
              <w:rPr>
                <w:rFonts w:ascii="Arial" w:eastAsia="Times New Roman" w:hAnsi="Arial" w:cs="Arial"/>
                <w:color w:val="333333"/>
                <w:sz w:val="24"/>
                <w:szCs w:val="24"/>
                <w:lang w:eastAsia="pt-BR"/>
              </w:rPr>
            </w:pPr>
            <w:proofErr w:type="gramStart"/>
            <w:r w:rsidRPr="00F1316E">
              <w:rPr>
                <w:rFonts w:ascii="Arial" w:eastAsia="Times New Roman" w:hAnsi="Arial" w:cs="Arial"/>
                <w:color w:val="333333"/>
                <w:sz w:val="24"/>
                <w:szCs w:val="24"/>
                <w:lang w:eastAsia="pt-BR"/>
              </w:rPr>
              <w:t>O inteiro teor dos julgados mencionados integram</w:t>
            </w:r>
            <w:proofErr w:type="gramEnd"/>
            <w:r w:rsidRPr="00F1316E">
              <w:rPr>
                <w:rFonts w:ascii="Arial" w:eastAsia="Times New Roman" w:hAnsi="Arial" w:cs="Arial"/>
                <w:color w:val="333333"/>
                <w:sz w:val="24"/>
                <w:szCs w:val="24"/>
                <w:lang w:eastAsia="pt-BR"/>
              </w:rPr>
              <w:t xml:space="preserve"> o acervo jurisprudencial da ANFAC, acessado pelo </w:t>
            </w:r>
            <w:r w:rsidRPr="00F1316E">
              <w:rPr>
                <w:rFonts w:ascii="Arial" w:eastAsia="Times New Roman" w:hAnsi="Arial" w:cs="Arial"/>
                <w:i/>
                <w:iCs/>
                <w:color w:val="333333"/>
                <w:sz w:val="24"/>
                <w:szCs w:val="24"/>
                <w:lang w:eastAsia="pt-BR"/>
              </w:rPr>
              <w:t>login </w:t>
            </w:r>
            <w:r w:rsidRPr="00F1316E">
              <w:rPr>
                <w:rFonts w:ascii="Arial" w:eastAsia="Times New Roman" w:hAnsi="Arial" w:cs="Arial"/>
                <w:color w:val="333333"/>
                <w:sz w:val="24"/>
                <w:szCs w:val="24"/>
                <w:lang w:eastAsia="pt-BR"/>
              </w:rPr>
              <w:t>e senha e ordenado por assunto e tribunal, poupando tempo que seria dispendido com pesquisas jurisprudenciais, reunindo em um só local um número expressivo de decisões de cunho favorável ao fomento comercial.</w:t>
            </w:r>
          </w:p>
        </w:tc>
      </w:tr>
      <w:tr w:rsidR="00F1316E" w:rsidRPr="00F1316E" w:rsidTr="00F1316E">
        <w:trPr>
          <w:tblCellSpacing w:w="0" w:type="dxa"/>
          <w:jc w:val="center"/>
        </w:trPr>
        <w:tc>
          <w:tcPr>
            <w:tcW w:w="0" w:type="auto"/>
            <w:tcMar>
              <w:top w:w="720" w:type="dxa"/>
              <w:left w:w="0" w:type="dxa"/>
              <w:bottom w:w="0" w:type="dxa"/>
              <w:right w:w="0" w:type="dxa"/>
            </w:tcMar>
            <w:vAlign w:val="center"/>
            <w:hideMark/>
          </w:tcPr>
          <w:p w:rsidR="00F1316E" w:rsidRPr="00F1316E" w:rsidRDefault="00F1316E" w:rsidP="00F1316E">
            <w:pPr>
              <w:spacing w:after="0" w:line="240" w:lineRule="auto"/>
              <w:rPr>
                <w:rFonts w:ascii="Arial" w:eastAsia="Times New Roman" w:hAnsi="Arial" w:cs="Arial"/>
                <w:color w:val="333333"/>
                <w:sz w:val="24"/>
                <w:szCs w:val="24"/>
                <w:lang w:eastAsia="pt-BR"/>
              </w:rPr>
            </w:pPr>
            <w:r w:rsidRPr="00F1316E">
              <w:rPr>
                <w:rFonts w:ascii="Arial" w:eastAsia="Times New Roman" w:hAnsi="Arial" w:cs="Arial"/>
                <w:color w:val="333333"/>
                <w:sz w:val="24"/>
                <w:szCs w:val="24"/>
                <w:lang w:eastAsia="pt-BR"/>
              </w:rPr>
              <w:lastRenderedPageBreak/>
              <w:t>São Paulo, 10 de abril de 2018.</w:t>
            </w:r>
          </w:p>
        </w:tc>
      </w:tr>
      <w:tr w:rsidR="00F1316E" w:rsidRPr="00F1316E" w:rsidTr="00F1316E">
        <w:trPr>
          <w:tblCellSpacing w:w="0" w:type="dxa"/>
          <w:jc w:val="center"/>
        </w:trPr>
        <w:tc>
          <w:tcPr>
            <w:tcW w:w="0" w:type="auto"/>
            <w:tcMar>
              <w:top w:w="720" w:type="dxa"/>
              <w:left w:w="0" w:type="dxa"/>
              <w:bottom w:w="0" w:type="dxa"/>
              <w:right w:w="0" w:type="dxa"/>
            </w:tcMar>
            <w:vAlign w:val="center"/>
            <w:hideMark/>
          </w:tcPr>
          <w:p w:rsidR="00F1316E" w:rsidRPr="00F1316E" w:rsidRDefault="00F1316E" w:rsidP="00F1316E">
            <w:pPr>
              <w:spacing w:after="0" w:line="240" w:lineRule="auto"/>
              <w:jc w:val="center"/>
              <w:rPr>
                <w:rFonts w:ascii="Arial" w:eastAsia="Times New Roman" w:hAnsi="Arial" w:cs="Arial"/>
                <w:color w:val="333333"/>
                <w:sz w:val="24"/>
                <w:szCs w:val="24"/>
                <w:lang w:eastAsia="pt-BR"/>
              </w:rPr>
            </w:pPr>
            <w:r w:rsidRPr="00F1316E">
              <w:rPr>
                <w:rFonts w:ascii="Arial" w:eastAsia="Times New Roman" w:hAnsi="Arial" w:cs="Arial"/>
                <w:b/>
                <w:bCs/>
                <w:color w:val="333333"/>
                <w:sz w:val="24"/>
                <w:szCs w:val="24"/>
                <w:lang w:eastAsia="pt-BR"/>
              </w:rPr>
              <w:t>LUIZ LEMOS LEITE</w:t>
            </w:r>
          </w:p>
        </w:tc>
      </w:tr>
      <w:tr w:rsidR="00F1316E" w:rsidRPr="00F1316E" w:rsidTr="00F1316E">
        <w:trPr>
          <w:tblCellSpacing w:w="0" w:type="dxa"/>
          <w:jc w:val="center"/>
        </w:trPr>
        <w:tc>
          <w:tcPr>
            <w:tcW w:w="0" w:type="auto"/>
            <w:vAlign w:val="center"/>
            <w:hideMark/>
          </w:tcPr>
          <w:p w:rsidR="00F1316E" w:rsidRPr="00F1316E" w:rsidRDefault="00F1316E" w:rsidP="00F1316E">
            <w:pPr>
              <w:spacing w:after="0" w:line="240" w:lineRule="auto"/>
              <w:jc w:val="center"/>
              <w:rPr>
                <w:rFonts w:ascii="Arial" w:eastAsia="Times New Roman" w:hAnsi="Arial" w:cs="Arial"/>
                <w:color w:val="333333"/>
                <w:sz w:val="19"/>
                <w:szCs w:val="19"/>
                <w:lang w:eastAsia="pt-BR"/>
              </w:rPr>
            </w:pPr>
            <w:r w:rsidRPr="00F1316E">
              <w:rPr>
                <w:rFonts w:ascii="Arial" w:eastAsia="Times New Roman" w:hAnsi="Arial" w:cs="Arial"/>
                <w:color w:val="333333"/>
                <w:sz w:val="19"/>
                <w:szCs w:val="19"/>
                <w:lang w:eastAsia="pt-BR"/>
              </w:rPr>
              <w:t>PRESIDENTE</w:t>
            </w:r>
          </w:p>
        </w:tc>
      </w:tr>
      <w:tr w:rsidR="00F1316E" w:rsidRPr="00F1316E" w:rsidTr="00F1316E">
        <w:trPr>
          <w:tblCellSpacing w:w="0" w:type="dxa"/>
          <w:jc w:val="center"/>
        </w:trPr>
        <w:tc>
          <w:tcPr>
            <w:tcW w:w="0" w:type="auto"/>
            <w:tcMar>
              <w:top w:w="600" w:type="dxa"/>
              <w:left w:w="0" w:type="dxa"/>
              <w:bottom w:w="0" w:type="dxa"/>
              <w:right w:w="0" w:type="dxa"/>
            </w:tcMar>
            <w:vAlign w:val="center"/>
            <w:hideMark/>
          </w:tcPr>
          <w:p w:rsidR="00F1316E" w:rsidRPr="00F1316E" w:rsidRDefault="00F1316E" w:rsidP="00F1316E">
            <w:pPr>
              <w:spacing w:after="0" w:line="240" w:lineRule="auto"/>
              <w:jc w:val="center"/>
              <w:rPr>
                <w:rFonts w:ascii="Arial" w:eastAsia="Times New Roman" w:hAnsi="Arial" w:cs="Arial"/>
                <w:color w:val="333333"/>
                <w:sz w:val="19"/>
                <w:szCs w:val="19"/>
                <w:lang w:eastAsia="pt-BR"/>
              </w:rPr>
            </w:pPr>
            <w:r w:rsidRPr="00F1316E">
              <w:rPr>
                <w:rFonts w:ascii="Arial" w:eastAsia="Times New Roman" w:hAnsi="Arial" w:cs="Arial"/>
                <w:color w:val="333333"/>
                <w:sz w:val="17"/>
                <w:szCs w:val="17"/>
                <w:lang w:eastAsia="pt-BR"/>
              </w:rPr>
              <w:t>Registro Circular ANFAC 027/2018</w:t>
            </w:r>
            <w:r w:rsidRPr="00F1316E">
              <w:rPr>
                <w:rFonts w:ascii="Arial" w:eastAsia="Times New Roman" w:hAnsi="Arial" w:cs="Arial"/>
                <w:color w:val="333333"/>
                <w:sz w:val="19"/>
                <w:szCs w:val="19"/>
                <w:lang w:eastAsia="pt-BR"/>
              </w:rPr>
              <w:br/>
              <w:t>© 2018 - Associação Nacional de Fomento Comercial</w:t>
            </w:r>
          </w:p>
        </w:tc>
      </w:tr>
    </w:tbl>
    <w:p w:rsidR="00F1316E" w:rsidRDefault="00F1316E">
      <w:bookmarkStart w:id="0" w:name="_GoBack"/>
      <w:bookmarkEnd w:id="0"/>
    </w:p>
    <w:sectPr w:rsidR="00F1316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16E"/>
    <w:rsid w:val="00F1316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3C4730-EAB8-4818-A86F-6CEA12ECF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F1316E"/>
    <w:rPr>
      <w:b/>
      <w:bCs/>
    </w:rPr>
  </w:style>
  <w:style w:type="paragraph" w:styleId="NormalWeb">
    <w:name w:val="Normal (Web)"/>
    <w:basedOn w:val="Normal"/>
    <w:uiPriority w:val="99"/>
    <w:semiHidden/>
    <w:unhideWhenUsed/>
    <w:rsid w:val="00F1316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F1316E"/>
    <w:rPr>
      <w:i/>
      <w:iCs/>
    </w:rPr>
  </w:style>
  <w:style w:type="character" w:styleId="Hyperlink">
    <w:name w:val="Hyperlink"/>
    <w:basedOn w:val="Fontepargpadro"/>
    <w:uiPriority w:val="99"/>
    <w:semiHidden/>
    <w:unhideWhenUsed/>
    <w:rsid w:val="00F131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60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nfac.com.br/v3/assessoria-juridica-boletim.jsp?id=321"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3058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Gerencia01</dc:creator>
  <cp:keywords/>
  <dc:description/>
  <cp:lastModifiedBy>Gerencia01</cp:lastModifiedBy>
  <cp:revision>1</cp:revision>
  <dcterms:created xsi:type="dcterms:W3CDTF">2018-04-12T15:09:00Z</dcterms:created>
  <dcterms:modified xsi:type="dcterms:W3CDTF">2018-04-12T15:09:00Z</dcterms:modified>
</cp:coreProperties>
</file>